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before="240" w:after="240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jc w:val="center"/>
        <w:spacing w:before="240" w:after="240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jc w:val="center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Инфосправка. Акселератор творческих проектов «Создавай.Таврида»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rtl w:val="0"/>
        </w:rPr>
        <w:t xml:space="preserve">Организатор: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академия творческих индустрий «Меганом» </w:t>
      </w:r>
      <w:r>
        <w:rPr>
          <w:rFonts w:ascii="Times New Roman" w:hAnsi="Times New Roman" w:eastAsia="Times New Roman" w:cs="Times New Roman"/>
          <w:b w:val="0"/>
          <w:bCs w:val="0"/>
          <w:iCs/>
          <w:sz w:val="28"/>
          <w:szCs w:val="28"/>
        </w:rPr>
        <w:t xml:space="preserve">(проект «Таврида.АРТ»)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rtl w:val="0"/>
        </w:rPr>
        <w:t xml:space="preserve">Руководитель: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Никита Сальников, ведущий специалист службы проектного и программного сопровождения арт-кластера «Таврида»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rtl w:val="0"/>
        </w:rPr>
        <w:t xml:space="preserve">Даты проведения: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8.03.2025–13.03.2025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rtl w:val="0"/>
        </w:rPr>
        <w:t xml:space="preserve">Место проведения: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Академия творческих индустрий «Меганом» Крым, г. Судак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  <w:rtl w:val="0"/>
        </w:rPr>
        <w:t xml:space="preserve">Регистрация: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rtl w:val="0"/>
        </w:rPr>
      </w:r>
      <w:hyperlink r:id="rId13" w:tooltip="https://clck.ru/3FGPsN" w:history="1">
        <w:r>
          <w:rPr>
            <w:rStyle w:val="880"/>
            <w:rFonts w:ascii="Times New Roman" w:hAnsi="Times New Roman" w:eastAsia="Times New Roman" w:cs="Times New Roman"/>
            <w:sz w:val="28"/>
            <w:szCs w:val="28"/>
            <w:highlight w:val="none"/>
            <w:rtl w:val="0"/>
          </w:rPr>
          <w:t xml:space="preserve">https://clck.ru/3FGPsN</w:t>
        </w:r>
        <w:r>
          <w:rPr>
            <w:rStyle w:val="880"/>
            <w:rFonts w:ascii="Times New Roman" w:hAnsi="Times New Roman" w:eastAsia="Times New Roman" w:cs="Times New Roman"/>
            <w:sz w:val="28"/>
            <w:szCs w:val="28"/>
            <w:highlight w:val="none"/>
            <w:rtl w:val="0"/>
          </w:rPr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none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Что такое Акселератор творческих проектов?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Это бесплатная программа Академии творческих индустр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ий «Меганом», где молодые люди учатся создавать творческие проекты. Первая задача Акселератора — обучить участников основам социокультурного проектирования, предоставив им необходимые знания и навыки для разработки и реализации успешных социокультурных про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ектов, способствующих развитию сообщества и решению актуальных социальных проблем. Вторая задача — рассказать участникам о возможностях грантовой поддержки и подготовить их к представлению своего проекта на всероссийских и региональных грантовых конкурсах.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Чему учат на Акселераторе?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Программа Акселератора способствует развитию навыков презентации, ораторского мастерства и публичных выступле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ний, включает в себя командообразующие практики и тренинги по раскрытию творческого потенциала. Большим блоком идут лекции от экспертов грантовых конкурсов, в которых они подробно рассказывают и дают инструкции о том, как упаковать идеи в готовые проекты.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Практическая часть программы предполагает работу над проектами, тренировочные выступления, консультации и получение обратной связи от экспертов.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Все проекты выходят на итоговую защиту. По её результатам определяются финалисты, которые получают наставничество от экспертов проекта в течении 4 месяцев после окончания программы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а также приглашаются на площадку арт-кластера «Таврида» в Крыму, чтобы поучаствовать в конкурсе от Росмолодёжь.Гранты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Кто учит?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 участниками Акселератора работают эксперты арт-кластера «Таврида», конкурса Росмолодёжь.Гранты и других грантовых конкурсов, а также приглашённые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спикеры и тренеры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из бизнес-сферы. 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 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Кто участвует?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Участниками Акселератора могут стать граждане России, а также граждане, постоянно проживающие на территориях Донецкой Народной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Республики и Луганской Народной Республики, в возрасте от 18 до 35 лет, а именно: деятели культуры и искусства, представители творческих объединений, некоммерческих организаций и культурных учреждений, активисты в области молодёжной политики и те, кто уже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реализует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свои проекты. 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Для участия в Акселераторе все желающие должны оставить заявку на сайте арт-кластера «Таврида»,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заполнить анкету, записать видеовизитку и выполнить творческое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задание. Организаторы Акселератора внимательно изучают все входящие заявки и отбирают их по трём критериям: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– профессиональные компетенции: уровень владения навыками проектирования, степень осознанности кандидата и его понимания материала и основных аспектов проектирования;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– творческий подход: авторская оригинальность, уникальность, новаторство, нетривиальный подход к выполнению задания;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– уровень проработки: корректность, полнота, обоснованность, исполнение, лаконичность.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История и география Акселератора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Первый Акселератор состоялся в апреле 2021 года в Севастополе и в Симферополе. По итогам были определены 17 проектов-финалистов.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Весной 2022 года Акселератор прошел в Волгограде, Краснодаре и Симферополе. По итогам было объявлено суммарно 28 проектов-финалистов.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 2023 году география Акселератора значительно расширилась: на карте программы — Тула, Карелия, Пермь, Челябинск, Новоси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бирск, Ставрополь, Хабаровск, Нижний Новгород, Ростов-на-Дону, Севастополь, Симферополь. Акселератор для молодых творцов из Луганской и Донецкой народных республик, Херсонской и Запорожской областей прошёл в Академии творческих индустрий «Меганом» в Крыму.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 2024 году программу приняли Ярославская, Челябинская, Новгородская, Запорожская, Вологодская, Ивановская области, а также Акселератор дважды прошёл на площадке Академии творческих индустрий «Меганом» в Крыму.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Какие проекты создаются на Акселераторе?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Проекты, которые предлагают участники Акселератора, самые разнообразные. Если обобщить весь опыт, то можно выделить следующие категории: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Arial Unicode MS" w:hAnsi="Arial Unicode MS" w:eastAsia="Arial Unicode MS" w:cs="Arial Unicode MS"/>
          <w:sz w:val="28"/>
          <w:szCs w:val="28"/>
          <w:rtl w:val="0"/>
        </w:rPr>
        <w:t xml:space="preserve">➔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Творческие мастерские для детей и взрослых — как стационарные, так и выездные;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Arial Unicode MS" w:hAnsi="Arial Unicode MS" w:eastAsia="Arial Unicode MS" w:cs="Arial Unicode MS"/>
          <w:sz w:val="28"/>
          <w:szCs w:val="28"/>
          <w:rtl w:val="0"/>
        </w:rPr>
        <w:t xml:space="preserve">➔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Образовательные курсы, лекции и интенсивы по различным творческим направлениям — как для профи, так и для новичков и вольных слушателей;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Arial Unicode MS" w:hAnsi="Arial Unicode MS" w:eastAsia="Arial Unicode MS" w:cs="Arial Unicode MS"/>
          <w:sz w:val="28"/>
          <w:szCs w:val="28"/>
          <w:rtl w:val="0"/>
        </w:rPr>
        <w:t xml:space="preserve">➔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Школы медиа, кино, фото и видео;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Arial Unicode MS" w:hAnsi="Arial Unicode MS" w:eastAsia="Arial Unicode MS" w:cs="Arial Unicode MS"/>
          <w:sz w:val="28"/>
          <w:szCs w:val="28"/>
          <w:rtl w:val="0"/>
        </w:rPr>
        <w:t xml:space="preserve">➔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Фестивали, представления, шоу, выставки;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Arial Unicode MS" w:hAnsi="Arial Unicode MS" w:eastAsia="Arial Unicode MS" w:cs="Arial Unicode MS"/>
          <w:sz w:val="28"/>
          <w:szCs w:val="28"/>
          <w:rtl w:val="0"/>
        </w:rPr>
        <w:t xml:space="preserve">➔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Программы психологической и социальной адаптации через творческие практики;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Arial Unicode MS" w:hAnsi="Arial Unicode MS" w:eastAsia="Arial Unicode MS" w:cs="Arial Unicode MS"/>
          <w:sz w:val="28"/>
          <w:szCs w:val="28"/>
          <w:rtl w:val="0"/>
        </w:rPr>
        <w:t xml:space="preserve">➔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Инклюзивные программы для людей с ОВЗ;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Arial Unicode MS" w:hAnsi="Arial Unicode MS" w:eastAsia="Arial Unicode MS" w:cs="Arial Unicode MS"/>
          <w:sz w:val="28"/>
          <w:szCs w:val="28"/>
          <w:rtl w:val="0"/>
        </w:rPr>
        <w:t xml:space="preserve">➔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Площадки для обмена профессиональным опытом и творческими идеями.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Arial Unicode MS" w:hAnsi="Arial Unicode MS" w:eastAsia="Arial Unicode MS" w:cs="Arial Unicode MS"/>
          <w:sz w:val="28"/>
          <w:szCs w:val="28"/>
          <w:rtl w:val="0"/>
        </w:rPr>
        <w:t xml:space="preserve">➔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Литературные и поэтические, художественные и театральные лаборатории;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Arial Unicode MS" w:hAnsi="Arial Unicode MS" w:eastAsia="Arial Unicode MS" w:cs="Arial Unicode MS"/>
          <w:sz w:val="28"/>
          <w:szCs w:val="28"/>
          <w:rtl w:val="0"/>
        </w:rPr>
        <w:t xml:space="preserve">➔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Творческие пространства, арт-резиденции, точки притяжения для местной молодёжи;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Arial Unicode MS" w:hAnsi="Arial Unicode MS" w:eastAsia="Arial Unicode MS" w:cs="Arial Unicode MS"/>
          <w:sz w:val="28"/>
          <w:szCs w:val="28"/>
          <w:rtl w:val="0"/>
        </w:rPr>
        <w:t xml:space="preserve">➔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Проекты улучшения городской среды.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Arial Unicode MS" w:hAnsi="Arial Unicode MS" w:eastAsia="Arial Unicode MS" w:cs="Arial Unicode MS"/>
          <w:sz w:val="28"/>
          <w:szCs w:val="28"/>
          <w:rtl w:val="0"/>
        </w:rPr>
        <w:t xml:space="preserve">➔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Кружки для детей и молодёжи.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Партнёры Акселератора в принимающих регионах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Мероприятия проходят при поддержке городских и региональных администраций, комитетов по делам молодёжи, учреждений культуры и некоммерческих организаций.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Локациями проведения Акселератора становятся вузы, культурные центры, дома молодёжи и арт-резиденции, в том числе входящие в федеральную сеть «Таврида.АРТ».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Росмолодёжь.Гранты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Конкурс Росмолодёжь.Гранты является одним из ключевых направлений деятельности Федерального агентства по делам молодёжи (Росмолодёжь). Конкурс даёт возможность молодым людям получить финансовую поддержку на реализацию своего проекта.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 2015 года конкурс Росмолодёжь.Гранты п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роводится на площадке арт-кластера «Таврида». За это время его победителями стали более 1300 человек, на реализацию их проектов было выделено более 607 миллионов рублей. Принять участие в конкурсе могут граждане РФ в возрасте от 18 до 35 лет включительно.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Акселератор творческих проектов становится хорошей площадкой для подготовки к участию в грантовом конкурсе. Он даёт необходимый набор знаний и навыков, помогает сформулировать свою идею и вместе с экспертами оформить её в проект.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По результатам 2024 года 58 участников и финалистов Акселератора выиграли федеральные и региональные грантовые конкурсы на общую сумму более 27 млн рублей. За 4 года проведения Акселератора его участники и финалисты выиграли более 77 млн рублей.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Контакты для СМИ:</w:t>
      </w:r>
      <w:r>
        <w:rPr>
          <w:rFonts w:ascii="Times New Roman" w:hAnsi="Times New Roman" w:eastAsia="Times New Roman" w:cs="Times New Roman"/>
          <w:b/>
          <w:i/>
          <w:rtl w:val="0"/>
        </w:rPr>
        <w:t xml:space="preserve"> </w:t>
      </w:r>
      <w:r>
        <w:rPr>
          <w:rFonts w:ascii="Times New Roman" w:hAnsi="Times New Roman" w:eastAsia="Times New Roman" w:cs="Times New Roman"/>
          <w:rtl w:val="0"/>
        </w:rPr>
        <w:t xml:space="preserve">Яна Коряева, +7 926 379-73-40,</w:t>
      </w:r>
      <w:r>
        <w:rPr>
          <w:rFonts w:ascii="Times New Roman" w:hAnsi="Times New Roman" w:eastAsia="Times New Roman" w:cs="Times New Roman"/>
          <w:b/>
          <w:rtl w:val="0"/>
        </w:rPr>
        <w:t xml:space="preserve"> </w:t>
      </w:r>
      <w:r>
        <w:rPr>
          <w:rFonts w:ascii="Times New Roman" w:hAnsi="Times New Roman" w:eastAsia="Times New Roman" w:cs="Times New Roman"/>
          <w:rtl w:val="0"/>
        </w:rPr>
        <w:t xml:space="preserve">press@tavrida.art,</w:t>
      </w:r>
      <w:hyperlink r:id="rId14" w:tooltip="https://tavrida.art/" w:history="1">
        <w:r>
          <w:rPr>
            <w:rFonts w:ascii="Times New Roman" w:hAnsi="Times New Roman" w:eastAsia="Times New Roman" w:cs="Times New Roman"/>
            <w:color w:val="0563c1"/>
            <w:u w:val="single"/>
            <w:rtl w:val="0"/>
          </w:rPr>
          <w:t xml:space="preserve"> tavrida.art</w:t>
        </w:r>
      </w:hyperlink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before="240" w:after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Telegram-канал пресс-службы:</w:t>
      </w:r>
      <w:r>
        <w:rPr>
          <w:rFonts w:ascii="Times New Roman" w:hAnsi="Times New Roman" w:eastAsia="Times New Roman" w:cs="Times New Roman"/>
          <w:rtl w:val="0"/>
        </w:rPr>
        <w:t xml:space="preserve"> </w:t>
      </w:r>
      <w:hyperlink r:id="rId15" w:tooltip="https://t.me/tavrida_news" w:history="1">
        <w:r>
          <w:rPr>
            <w:rFonts w:ascii="Times New Roman" w:hAnsi="Times New Roman" w:eastAsia="Times New Roman" w:cs="Times New Roman"/>
            <w:color w:val="0563c1"/>
            <w:u w:val="single"/>
            <w:rtl w:val="0"/>
          </w:rPr>
          <w:t xml:space="preserve">https://t.me/tavrida_news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headerReference w:type="default" r:id="rId8"/>
      <w:headerReference w:type="first" r:id="rId9"/>
      <w:footerReference w:type="default" r:id="rId10"/>
      <w:footerReference w:type="even" r:id="rId11"/>
      <w:footerReference w:type="first" r:id="rId12"/>
      <w:footnotePr/>
      <w:endnotePr/>
      <w:type w:val="nextPage"/>
      <w:pgSz w:w="11900" w:h="16840" w:orient="portrait"/>
      <w:pgMar w:top="1134" w:right="1132" w:bottom="1134" w:left="1133" w:header="510" w:footer="72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Helvetica Neue"/>
  <w:font w:name="Georgia">
    <w:panose1 w:val="0204050305040603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240" w:lineRule="auto"/>
      <w:tabs>
        <w:tab w:val="right" w:pos="9020" w:leader="none"/>
      </w:tabs>
      <w:rPr>
        <w:rFonts w:ascii="Helvetica Neue" w:hAnsi="Helvetica Neue" w:eastAsia="Helvetica Neue" w:cs="Helvetica Neue"/>
        <w:color w:val="000000"/>
        <w:sz w:val="24"/>
        <w:szCs w:val="24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tl w:val="0"/>
      </w:rPr>
    </w:r>
    <w:r>
      <w:rPr>
        <w:rFonts w:ascii="Helvetica Neue" w:hAnsi="Helvetica Neue" w:eastAsia="Helvetica Neue" w:cs="Helvetica Neue"/>
        <w:color w:val="000000"/>
        <w:sz w:val="24"/>
        <w:szCs w:val="24"/>
      </w:rPr>
    </w:r>
    <w:r>
      <w:rPr>
        <w:rFonts w:ascii="Helvetica Neue" w:hAnsi="Helvetica Neue" w:eastAsia="Helvetica Neue" w:cs="Helvetica Neue"/>
        <w:color w:val="000000"/>
        <w:sz w:val="24"/>
        <w:szCs w:val="24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240" w:lineRule="auto"/>
      <w:tabs>
        <w:tab w:val="right" w:pos="9020" w:leader="none"/>
      </w:tabs>
      <w:rPr>
        <w:rFonts w:ascii="Helvetica Neue" w:hAnsi="Helvetica Neue" w:eastAsia="Helvetica Neue" w:cs="Helvetica Neue"/>
        <w:color w:val="000000"/>
        <w:sz w:val="24"/>
        <w:szCs w:val="24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tl w:val="0"/>
      </w:rPr>
    </w:r>
    <w:r>
      <w:rPr>
        <w:rFonts w:ascii="Helvetica Neue" w:hAnsi="Helvetica Neue" w:eastAsia="Helvetica Neue" w:cs="Helvetica Neue"/>
        <w:color w:val="000000"/>
        <w:sz w:val="24"/>
        <w:szCs w:val="24"/>
      </w:rPr>
    </w:r>
    <w:r>
      <w:rPr>
        <w:rFonts w:ascii="Helvetica Neue" w:hAnsi="Helvetica Neue" w:eastAsia="Helvetica Neue" w:cs="Helvetica Neue"/>
        <w:color w:val="000000"/>
        <w:sz w:val="24"/>
        <w:szCs w:val="24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color w:val="000000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tl w:val="0"/>
      </w:rPr>
    </w:r>
    <w:r>
      <w:rPr>
        <w:color w:val="000000"/>
      </w:rPr>
    </w:r>
    <w:r>
      <w:rPr>
        <w:color w:val="00000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240" w:lineRule="auto"/>
      <w:tabs>
        <w:tab w:val="center" w:pos="4677" w:leader="none"/>
        <w:tab w:val="right" w:pos="9355" w:leader="none"/>
      </w:tabs>
      <w:rPr>
        <w:color w:val="000000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tl w:val="0"/>
      </w:rPr>
    </w:r>
    <w:r>
      <w:rPr>
        <w:color w:val="000000"/>
      </w:rPr>
    </w:r>
    <w:r>
      <w:rPr>
        <w:color w:val="00000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color w:val="000000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color w:val="00000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<wp:simplePos x="0" y="0"/>
              <wp:positionH relativeFrom="margin">
                <wp:posOffset>-720542</wp:posOffset>
              </wp:positionH>
              <wp:positionV relativeFrom="page">
                <wp:posOffset>-9505</wp:posOffset>
              </wp:positionV>
              <wp:extent cx="7558548" cy="1143000"/>
              <wp:effectExtent l="0" t="0" r="0" b="0"/>
              <wp:wrapNone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  <pic:nvPr/>
                    </pic:nvPicPr>
                    <pic:blipFill>
                      <a:blip r:embed="rId1"/>
                      <a:srcRect l="0" t="14484" r="0" b="14483"/>
                      <a:stretch/>
                    </pic:blipFill>
                    <pic:spPr bwMode="auto">
                      <a:xfrm>
                        <a:off x="0" y="0"/>
                        <a:ext cx="7558548" cy="11430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0;o:allowoverlap:true;o:allowincell:true;mso-position-horizontal-relative:margin;margin-left:-56.74pt;mso-position-horizontal:absolute;mso-position-vertical-relative:page;margin-top:-0.75pt;mso-position-vertical:absolute;width:595.16pt;height:90.00pt;mso-wrap-distance-left:0.00pt;mso-wrap-distance-top:0.00pt;mso-wrap-distance-right:0.00pt;mso-wrap-distance-bottom:0.00pt;">
              <v:path textboxrect="0,0,0,0"/>
              <v:imagedata r:id="rId1" o:title=""/>
            </v:shape>
          </w:pict>
        </mc:Fallback>
      </mc:AlternateContent>
    </w:r>
    <w:r>
      <w:rPr>
        <w:color w:val="000000"/>
      </w:rPr>
    </w:r>
    <w:r>
      <w:rPr>
        <w:color w:val="00000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ru-RU" w:eastAsia="zh-CN" w:bidi="ar-SA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7">
    <w:name w:val="Heading 1 Char"/>
    <w:link w:val="900"/>
    <w:uiPriority w:val="9"/>
    <w:rPr>
      <w:rFonts w:ascii="Arial" w:hAnsi="Arial" w:eastAsia="Arial" w:cs="Arial"/>
      <w:sz w:val="40"/>
      <w:szCs w:val="40"/>
    </w:rPr>
  </w:style>
  <w:style w:type="character" w:styleId="728">
    <w:name w:val="Heading 2 Char"/>
    <w:link w:val="901"/>
    <w:uiPriority w:val="9"/>
    <w:rPr>
      <w:rFonts w:ascii="Arial" w:hAnsi="Arial" w:eastAsia="Arial" w:cs="Arial"/>
      <w:sz w:val="34"/>
    </w:rPr>
  </w:style>
  <w:style w:type="character" w:styleId="729">
    <w:name w:val="Heading 3 Char"/>
    <w:link w:val="902"/>
    <w:uiPriority w:val="9"/>
    <w:rPr>
      <w:rFonts w:ascii="Arial" w:hAnsi="Arial" w:eastAsia="Arial" w:cs="Arial"/>
      <w:sz w:val="30"/>
      <w:szCs w:val="30"/>
    </w:rPr>
  </w:style>
  <w:style w:type="character" w:styleId="730">
    <w:name w:val="Heading 4 Char"/>
    <w:link w:val="903"/>
    <w:uiPriority w:val="9"/>
    <w:rPr>
      <w:rFonts w:ascii="Arial" w:hAnsi="Arial" w:eastAsia="Arial" w:cs="Arial"/>
      <w:b/>
      <w:bCs/>
      <w:sz w:val="26"/>
      <w:szCs w:val="26"/>
    </w:rPr>
  </w:style>
  <w:style w:type="character" w:styleId="731">
    <w:name w:val="Heading 5 Char"/>
    <w:link w:val="904"/>
    <w:uiPriority w:val="9"/>
    <w:rPr>
      <w:rFonts w:ascii="Arial" w:hAnsi="Arial" w:eastAsia="Arial" w:cs="Arial"/>
      <w:b/>
      <w:bCs/>
      <w:sz w:val="24"/>
      <w:szCs w:val="24"/>
    </w:rPr>
  </w:style>
  <w:style w:type="character" w:styleId="732">
    <w:name w:val="Heading 6 Char"/>
    <w:link w:val="905"/>
    <w:uiPriority w:val="9"/>
    <w:rPr>
      <w:rFonts w:ascii="Arial" w:hAnsi="Arial" w:eastAsia="Arial" w:cs="Arial"/>
      <w:b/>
      <w:bCs/>
      <w:sz w:val="22"/>
      <w:szCs w:val="22"/>
    </w:rPr>
  </w:style>
  <w:style w:type="paragraph" w:styleId="733">
    <w:name w:val="Heading 7"/>
    <w:basedOn w:val="898"/>
    <w:next w:val="898"/>
    <w:link w:val="73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4">
    <w:name w:val="Heading 7 Char"/>
    <w:link w:val="73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5">
    <w:name w:val="Heading 8"/>
    <w:basedOn w:val="898"/>
    <w:next w:val="898"/>
    <w:link w:val="73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6">
    <w:name w:val="Heading 8 Char"/>
    <w:link w:val="735"/>
    <w:uiPriority w:val="9"/>
    <w:rPr>
      <w:rFonts w:ascii="Arial" w:hAnsi="Arial" w:eastAsia="Arial" w:cs="Arial"/>
      <w:i/>
      <w:iCs/>
      <w:sz w:val="22"/>
      <w:szCs w:val="22"/>
    </w:rPr>
  </w:style>
  <w:style w:type="paragraph" w:styleId="737">
    <w:name w:val="Heading 9"/>
    <w:basedOn w:val="898"/>
    <w:next w:val="898"/>
    <w:link w:val="73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8">
    <w:name w:val="Heading 9 Char"/>
    <w:link w:val="737"/>
    <w:uiPriority w:val="9"/>
    <w:rPr>
      <w:rFonts w:ascii="Arial" w:hAnsi="Arial" w:eastAsia="Arial" w:cs="Arial"/>
      <w:i/>
      <w:iCs/>
      <w:sz w:val="21"/>
      <w:szCs w:val="21"/>
    </w:rPr>
  </w:style>
  <w:style w:type="paragraph" w:styleId="739">
    <w:name w:val="List Paragraph"/>
    <w:basedOn w:val="898"/>
    <w:uiPriority w:val="34"/>
    <w:qFormat/>
    <w:pPr>
      <w:contextualSpacing/>
      <w:ind w:left="720"/>
    </w:pPr>
  </w:style>
  <w:style w:type="table" w:styleId="74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41">
    <w:name w:val="No Spacing"/>
    <w:uiPriority w:val="1"/>
    <w:qFormat/>
    <w:pPr>
      <w:spacing w:before="0" w:after="0" w:line="240" w:lineRule="auto"/>
    </w:pPr>
  </w:style>
  <w:style w:type="character" w:styleId="742">
    <w:name w:val="Title Char"/>
    <w:link w:val="906"/>
    <w:uiPriority w:val="10"/>
    <w:rPr>
      <w:sz w:val="48"/>
      <w:szCs w:val="48"/>
    </w:rPr>
  </w:style>
  <w:style w:type="character" w:styleId="743">
    <w:name w:val="Subtitle Char"/>
    <w:link w:val="907"/>
    <w:uiPriority w:val="11"/>
    <w:rPr>
      <w:sz w:val="24"/>
      <w:szCs w:val="24"/>
    </w:rPr>
  </w:style>
  <w:style w:type="paragraph" w:styleId="744">
    <w:name w:val="Quote"/>
    <w:basedOn w:val="898"/>
    <w:next w:val="898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8"/>
    <w:next w:val="898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paragraph" w:styleId="748">
    <w:name w:val="Header"/>
    <w:basedOn w:val="898"/>
    <w:link w:val="74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9">
    <w:name w:val="Header Char"/>
    <w:link w:val="748"/>
    <w:uiPriority w:val="99"/>
  </w:style>
  <w:style w:type="paragraph" w:styleId="750">
    <w:name w:val="Footer"/>
    <w:basedOn w:val="898"/>
    <w:link w:val="75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1">
    <w:name w:val="Footer Char"/>
    <w:link w:val="750"/>
    <w:uiPriority w:val="99"/>
  </w:style>
  <w:style w:type="paragraph" w:styleId="752">
    <w:name w:val="Caption"/>
    <w:basedOn w:val="898"/>
    <w:next w:val="8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3">
    <w:name w:val="Caption Char"/>
    <w:basedOn w:val="752"/>
    <w:link w:val="750"/>
    <w:uiPriority w:val="99"/>
  </w:style>
  <w:style w:type="table" w:styleId="754">
    <w:name w:val="Table Grid"/>
    <w:basedOn w:val="74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>
    <w:name w:val="Table Grid Light"/>
    <w:basedOn w:val="7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Plain Table 1"/>
    <w:basedOn w:val="7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basedOn w:val="7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basedOn w:val="7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>
    <w:name w:val="Grid Table 4 - Accent 1"/>
    <w:basedOn w:val="7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4">
    <w:name w:val="Grid Table 4 - Accent 2"/>
    <w:basedOn w:val="7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Grid Table 4 - Accent 3"/>
    <w:basedOn w:val="7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6">
    <w:name w:val="Grid Table 4 - Accent 4"/>
    <w:basedOn w:val="7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Grid Table 4 - Accent 5"/>
    <w:basedOn w:val="7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8">
    <w:name w:val="Grid Table 4 - Accent 6"/>
    <w:basedOn w:val="7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9">
    <w:name w:val="Grid Table 5 Dark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3">
    <w:name w:val="Grid Table 5 Dark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6">
    <w:name w:val="Grid Table 6 Colorful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7">
    <w:name w:val="Grid Table 6 Colorful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8">
    <w:name w:val="Grid Table 6 Colorful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9">
    <w:name w:val="Grid Table 6 Colorful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0">
    <w:name w:val="Grid Table 6 Colorful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1">
    <w:name w:val="Grid Table 6 Colorful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2">
    <w:name w:val="Grid Table 6 Colorful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3">
    <w:name w:val="Grid Table 7 Colorful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8">
    <w:name w:val="List Table 2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9">
    <w:name w:val="List Table 2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0">
    <w:name w:val="List Table 2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1">
    <w:name w:val="List Table 2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2">
    <w:name w:val="List Table 2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3">
    <w:name w:val="List Table 2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6 Colorful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6">
    <w:name w:val="List Table 6 Colorful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7">
    <w:name w:val="List Table 6 Colorful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8">
    <w:name w:val="List Table 6 Colorful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9">
    <w:name w:val="List Table 6 Colorful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0">
    <w:name w:val="List Table 6 Colorful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1">
    <w:name w:val="List Table 6 Colorful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2">
    <w:name w:val="List Table 7 Colorful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3">
    <w:name w:val="List Table 7 Colorful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4">
    <w:name w:val="List Table 7 Colorful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5">
    <w:name w:val="List Table 7 Colorful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6">
    <w:name w:val="List Table 7 Colorful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7">
    <w:name w:val="List Table 7 Colorful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8">
    <w:name w:val="List Table 7 Colorful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9">
    <w:name w:val="Lined - Accent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0">
    <w:name w:val="Lined - Accent 1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1">
    <w:name w:val="Lined - Accent 2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2">
    <w:name w:val="Lined - Accent 3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3">
    <w:name w:val="Lined - Accent 4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4">
    <w:name w:val="Lined - Accent 5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5">
    <w:name w:val="Lined - Accent 6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6">
    <w:name w:val="Bordered &amp; Lined - Accent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Bordered &amp; Lined - Accent 1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8">
    <w:name w:val="Bordered &amp; Lined - Accent 2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9">
    <w:name w:val="Bordered &amp; Lined - Accent 3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0">
    <w:name w:val="Bordered &amp; Lined - Accent 4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1">
    <w:name w:val="Bordered &amp; Lined - Accent 5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2">
    <w:name w:val="Bordered &amp; Lined - Accent 6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3">
    <w:name w:val="Bordered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4">
    <w:name w:val="Bordered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5">
    <w:name w:val="Bordered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6">
    <w:name w:val="Bordered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7">
    <w:name w:val="Bordered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8">
    <w:name w:val="Bordered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9">
    <w:name w:val="Bordered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0">
    <w:name w:val="Hyperlink"/>
    <w:uiPriority w:val="99"/>
    <w:unhideWhenUsed/>
    <w:rPr>
      <w:color w:val="0000ff" w:themeColor="hyperlink"/>
      <w:u w:val="single"/>
    </w:rPr>
  </w:style>
  <w:style w:type="paragraph" w:styleId="881">
    <w:name w:val="footnote text"/>
    <w:basedOn w:val="898"/>
    <w:link w:val="882"/>
    <w:uiPriority w:val="99"/>
    <w:semiHidden/>
    <w:unhideWhenUsed/>
    <w:pPr>
      <w:spacing w:after="40" w:line="240" w:lineRule="auto"/>
    </w:pPr>
    <w:rPr>
      <w:sz w:val="18"/>
    </w:rPr>
  </w:style>
  <w:style w:type="character" w:styleId="882">
    <w:name w:val="Footnote Text Char"/>
    <w:link w:val="881"/>
    <w:uiPriority w:val="99"/>
    <w:rPr>
      <w:sz w:val="18"/>
    </w:rPr>
  </w:style>
  <w:style w:type="character" w:styleId="883">
    <w:name w:val="footnote reference"/>
    <w:uiPriority w:val="99"/>
    <w:unhideWhenUsed/>
    <w:rPr>
      <w:vertAlign w:val="superscript"/>
    </w:rPr>
  </w:style>
  <w:style w:type="paragraph" w:styleId="884">
    <w:name w:val="endnote text"/>
    <w:basedOn w:val="898"/>
    <w:link w:val="885"/>
    <w:uiPriority w:val="99"/>
    <w:semiHidden/>
    <w:unhideWhenUsed/>
    <w:pPr>
      <w:spacing w:after="0" w:line="240" w:lineRule="auto"/>
    </w:pPr>
    <w:rPr>
      <w:sz w:val="20"/>
    </w:rPr>
  </w:style>
  <w:style w:type="character" w:styleId="885">
    <w:name w:val="Endnote Text Char"/>
    <w:link w:val="884"/>
    <w:uiPriority w:val="99"/>
    <w:rPr>
      <w:sz w:val="20"/>
    </w:rPr>
  </w:style>
  <w:style w:type="character" w:styleId="886">
    <w:name w:val="endnote reference"/>
    <w:uiPriority w:val="99"/>
    <w:semiHidden/>
    <w:unhideWhenUsed/>
    <w:rPr>
      <w:vertAlign w:val="superscript"/>
    </w:rPr>
  </w:style>
  <w:style w:type="paragraph" w:styleId="887">
    <w:name w:val="toc 1"/>
    <w:basedOn w:val="898"/>
    <w:next w:val="898"/>
    <w:uiPriority w:val="39"/>
    <w:unhideWhenUsed/>
    <w:pPr>
      <w:ind w:left="0" w:right="0" w:firstLine="0"/>
      <w:spacing w:after="57"/>
    </w:pPr>
  </w:style>
  <w:style w:type="paragraph" w:styleId="888">
    <w:name w:val="toc 2"/>
    <w:basedOn w:val="898"/>
    <w:next w:val="898"/>
    <w:uiPriority w:val="39"/>
    <w:unhideWhenUsed/>
    <w:pPr>
      <w:ind w:left="283" w:right="0" w:firstLine="0"/>
      <w:spacing w:after="57"/>
    </w:pPr>
  </w:style>
  <w:style w:type="paragraph" w:styleId="889">
    <w:name w:val="toc 3"/>
    <w:basedOn w:val="898"/>
    <w:next w:val="898"/>
    <w:uiPriority w:val="39"/>
    <w:unhideWhenUsed/>
    <w:pPr>
      <w:ind w:left="567" w:right="0" w:firstLine="0"/>
      <w:spacing w:after="57"/>
    </w:pPr>
  </w:style>
  <w:style w:type="paragraph" w:styleId="890">
    <w:name w:val="toc 4"/>
    <w:basedOn w:val="898"/>
    <w:next w:val="898"/>
    <w:uiPriority w:val="39"/>
    <w:unhideWhenUsed/>
    <w:pPr>
      <w:ind w:left="850" w:right="0" w:firstLine="0"/>
      <w:spacing w:after="57"/>
    </w:pPr>
  </w:style>
  <w:style w:type="paragraph" w:styleId="891">
    <w:name w:val="toc 5"/>
    <w:basedOn w:val="898"/>
    <w:next w:val="898"/>
    <w:uiPriority w:val="39"/>
    <w:unhideWhenUsed/>
    <w:pPr>
      <w:ind w:left="1134" w:right="0" w:firstLine="0"/>
      <w:spacing w:after="57"/>
    </w:pPr>
  </w:style>
  <w:style w:type="paragraph" w:styleId="892">
    <w:name w:val="toc 6"/>
    <w:basedOn w:val="898"/>
    <w:next w:val="898"/>
    <w:uiPriority w:val="39"/>
    <w:unhideWhenUsed/>
    <w:pPr>
      <w:ind w:left="1417" w:right="0" w:firstLine="0"/>
      <w:spacing w:after="57"/>
    </w:pPr>
  </w:style>
  <w:style w:type="paragraph" w:styleId="893">
    <w:name w:val="toc 7"/>
    <w:basedOn w:val="898"/>
    <w:next w:val="898"/>
    <w:uiPriority w:val="39"/>
    <w:unhideWhenUsed/>
    <w:pPr>
      <w:ind w:left="1701" w:right="0" w:firstLine="0"/>
      <w:spacing w:after="57"/>
    </w:pPr>
  </w:style>
  <w:style w:type="paragraph" w:styleId="894">
    <w:name w:val="toc 8"/>
    <w:basedOn w:val="898"/>
    <w:next w:val="898"/>
    <w:uiPriority w:val="39"/>
    <w:unhideWhenUsed/>
    <w:pPr>
      <w:ind w:left="1984" w:right="0" w:firstLine="0"/>
      <w:spacing w:after="57"/>
    </w:pPr>
  </w:style>
  <w:style w:type="paragraph" w:styleId="895">
    <w:name w:val="toc 9"/>
    <w:basedOn w:val="898"/>
    <w:next w:val="898"/>
    <w:uiPriority w:val="39"/>
    <w:unhideWhenUsed/>
    <w:pPr>
      <w:ind w:left="2268" w:right="0" w:firstLine="0"/>
      <w:spacing w:after="57"/>
    </w:pPr>
  </w:style>
  <w:style w:type="paragraph" w:styleId="896">
    <w:name w:val="TOC Heading"/>
    <w:uiPriority w:val="39"/>
    <w:unhideWhenUsed/>
  </w:style>
  <w:style w:type="paragraph" w:styleId="897">
    <w:name w:val="table of figures"/>
    <w:basedOn w:val="898"/>
    <w:next w:val="898"/>
    <w:uiPriority w:val="99"/>
    <w:unhideWhenUsed/>
    <w:pPr>
      <w:spacing w:after="0" w:afterAutospacing="0"/>
    </w:pPr>
  </w:style>
  <w:style w:type="paragraph" w:styleId="898" w:default="1">
    <w:name w:val="Normal"/>
  </w:style>
  <w:style w:type="table" w:styleId="899" w:default="1">
    <w:name w:val="Table Normal"/>
    <w:tblPr/>
  </w:style>
  <w:style w:type="paragraph" w:styleId="900">
    <w:name w:val="Heading 1"/>
    <w:basedOn w:val="898"/>
    <w:next w:val="898"/>
    <w:pPr>
      <w:keepLines/>
      <w:keepNext/>
      <w:spacing w:before="480" w:after="12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b/>
      <w:color w:val="000000"/>
      <w:sz w:val="48"/>
      <w:szCs w:val="48"/>
    </w:rPr>
  </w:style>
  <w:style w:type="paragraph" w:styleId="901">
    <w:name w:val="Heading 2"/>
    <w:basedOn w:val="898"/>
    <w:next w:val="898"/>
    <w:pPr>
      <w:keepLines/>
      <w:keepNext/>
      <w:spacing w:before="360" w:after="8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b/>
      <w:color w:val="000000"/>
      <w:sz w:val="36"/>
      <w:szCs w:val="36"/>
    </w:rPr>
  </w:style>
  <w:style w:type="paragraph" w:styleId="902">
    <w:name w:val="Heading 3"/>
    <w:basedOn w:val="898"/>
    <w:next w:val="898"/>
    <w:pPr>
      <w:keepLines/>
      <w:keepNext/>
      <w:spacing w:before="280" w:after="8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b/>
      <w:color w:val="000000"/>
      <w:sz w:val="28"/>
      <w:szCs w:val="28"/>
    </w:rPr>
  </w:style>
  <w:style w:type="paragraph" w:styleId="903">
    <w:name w:val="Heading 4"/>
    <w:basedOn w:val="898"/>
    <w:next w:val="898"/>
    <w:pPr>
      <w:keepLines/>
      <w:keepNext/>
      <w:spacing w:before="240" w:after="4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b/>
      <w:color w:val="000000"/>
      <w:sz w:val="24"/>
      <w:szCs w:val="24"/>
    </w:rPr>
  </w:style>
  <w:style w:type="paragraph" w:styleId="904">
    <w:name w:val="Heading 5"/>
    <w:basedOn w:val="898"/>
    <w:next w:val="898"/>
    <w:pPr>
      <w:keepLines/>
      <w:keepNext/>
      <w:spacing w:before="220" w:after="4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b/>
      <w:color w:val="000000"/>
    </w:rPr>
  </w:style>
  <w:style w:type="paragraph" w:styleId="905">
    <w:name w:val="Heading 6"/>
    <w:basedOn w:val="898"/>
    <w:next w:val="898"/>
    <w:pPr>
      <w:keepLines/>
      <w:keepNext/>
      <w:spacing w:before="200" w:after="4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b/>
      <w:color w:val="000000"/>
      <w:sz w:val="20"/>
      <w:szCs w:val="20"/>
    </w:rPr>
  </w:style>
  <w:style w:type="paragraph" w:styleId="906">
    <w:name w:val="Title"/>
    <w:basedOn w:val="898"/>
    <w:next w:val="898"/>
    <w:pPr>
      <w:keepLines/>
      <w:keepNext/>
      <w:spacing w:before="480" w:after="12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b/>
      <w:color w:val="000000"/>
      <w:sz w:val="72"/>
      <w:szCs w:val="72"/>
    </w:rPr>
  </w:style>
  <w:style w:type="paragraph" w:styleId="907">
    <w:name w:val="Subtitle"/>
    <w:basedOn w:val="898"/>
    <w:next w:val="898"/>
    <w:pPr>
      <w:keepLines/>
      <w:keepNext/>
      <w:spacing w:before="360" w:after="8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908" w:default="1">
    <w:name w:val="Default Paragraph Font"/>
    <w:uiPriority w:val="1"/>
    <w:semiHidden/>
    <w:unhideWhenUsed/>
  </w:style>
  <w:style w:type="numbering" w:styleId="90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hyperlink" Target="https://clck.ru/3FGPsN" TargetMode="External"/><Relationship Id="rId14" Type="http://schemas.openxmlformats.org/officeDocument/2006/relationships/hyperlink" Target="https://tavrida.art/" TargetMode="External"/><Relationship Id="rId15" Type="http://schemas.openxmlformats.org/officeDocument/2006/relationships/hyperlink" Target="https://t.me/tavrida_new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Инфопакет–2024 Таврида.АРТ</cp:lastModifiedBy>
  <cp:revision>1</cp:revision>
  <dcterms:modified xsi:type="dcterms:W3CDTF">2024-12-24T11:00:22Z</dcterms:modified>
</cp:coreProperties>
</file>